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En caso de ofertas enviadas/presentadas fuera de términ</w:t>
      </w:r>
      <w:r w:rsidR="00881248">
        <w:rPr>
          <w:rFonts w:asciiTheme="majorHAnsi" w:hAnsiTheme="majorHAnsi"/>
          <w:bCs/>
          <w:sz w:val="28"/>
          <w:szCs w:val="28"/>
        </w:rPr>
        <w:t>o será de aplicación el art. 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881248">
        <w:rPr>
          <w:rFonts w:asciiTheme="majorHAnsi" w:hAnsiTheme="majorHAnsi"/>
          <w:sz w:val="28"/>
          <w:szCs w:val="28"/>
        </w:rPr>
        <w:t>77 a 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D17699" w:rsidRPr="00651237" w:rsidRDefault="00D17699" w:rsidP="00D17699">
      <w:pPr>
        <w:pStyle w:val="Default"/>
        <w:numPr>
          <w:ilvl w:val="0"/>
          <w:numId w:val="1"/>
        </w:numPr>
        <w:jc w:val="both"/>
        <w:rPr>
          <w:rFonts w:asciiTheme="majorHAnsi" w:hAnsiTheme="majorHAnsi"/>
          <w:sz w:val="28"/>
          <w:szCs w:val="28"/>
        </w:rPr>
      </w:pPr>
      <w:r w:rsidRPr="00651237">
        <w:rPr>
          <w:rFonts w:asciiTheme="majorHAnsi" w:hAnsiTheme="majorHAnsi"/>
          <w:sz w:val="28"/>
          <w:szCs w:val="28"/>
        </w:rPr>
        <w:t xml:space="preserve">Deberá ser formulada en la </w:t>
      </w:r>
      <w:r w:rsidRPr="00651237">
        <w:rPr>
          <w:rFonts w:asciiTheme="majorHAnsi" w:hAnsiTheme="majorHAnsi"/>
          <w:b/>
          <w:sz w:val="28"/>
          <w:szCs w:val="28"/>
        </w:rPr>
        <w:t>PLANILLA DE COTIZACIÓN</w:t>
      </w:r>
      <w:r w:rsidRPr="00651237">
        <w:rPr>
          <w:rFonts w:asciiTheme="majorHAnsi" w:hAnsiTheme="majorHAnsi"/>
          <w:sz w:val="28"/>
          <w:szCs w:val="28"/>
        </w:rPr>
        <w:t xml:space="preserve"> enviada por SOFSE.</w:t>
      </w:r>
    </w:p>
    <w:p w:rsidR="00D17699" w:rsidRPr="00651237" w:rsidRDefault="00D17699" w:rsidP="00D17699">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D17699" w:rsidRPr="00E41560" w:rsidRDefault="00D17699" w:rsidP="00E41560">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w:t>
      </w:r>
      <w:r w:rsidR="00E41560">
        <w:rPr>
          <w:rFonts w:asciiTheme="majorHAnsi" w:hAnsiTheme="majorHAnsi"/>
          <w:sz w:val="28"/>
          <w:szCs w:val="28"/>
        </w:rPr>
        <w:t xml:space="preserve"> </w:t>
      </w:r>
      <w:r w:rsidRPr="00E41560">
        <w:rPr>
          <w:rFonts w:asciiTheme="majorHAnsi" w:hAnsiTheme="majorHAnsi"/>
          <w:sz w:val="28"/>
          <w:szCs w:val="28"/>
        </w:rPr>
        <w:t>en números.</w:t>
      </w:r>
    </w:p>
    <w:p w:rsidR="00D17699" w:rsidRPr="00651237" w:rsidRDefault="00D17699" w:rsidP="00D17699">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Pr>
          <w:rFonts w:asciiTheme="majorHAnsi" w:hAnsiTheme="majorHAnsi"/>
          <w:sz w:val="28"/>
          <w:szCs w:val="28"/>
        </w:rPr>
        <w:t>.</w:t>
      </w:r>
      <w:r w:rsidRPr="00651237">
        <w:rPr>
          <w:rFonts w:asciiTheme="majorHAnsi" w:hAnsiTheme="majorHAnsi"/>
          <w:sz w:val="28"/>
          <w:szCs w:val="28"/>
        </w:rPr>
        <w:t xml:space="preserve"> </w:t>
      </w:r>
    </w:p>
    <w:p w:rsidR="00D17699" w:rsidRPr="00651237" w:rsidRDefault="00D17699" w:rsidP="00D17699">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Aclarar marca y modelo c</w:t>
      </w:r>
      <w:r w:rsidR="00E41560">
        <w:rPr>
          <w:rFonts w:asciiTheme="majorHAnsi" w:hAnsiTheme="majorHAnsi"/>
          <w:sz w:val="28"/>
          <w:szCs w:val="28"/>
        </w:rPr>
        <w:t>otizado</w:t>
      </w:r>
      <w:r w:rsidRPr="00651237">
        <w:rPr>
          <w:rFonts w:asciiTheme="majorHAnsi" w:hAnsiTheme="majorHAnsi"/>
          <w:sz w:val="28"/>
          <w:szCs w:val="28"/>
        </w:rPr>
        <w:t>.</w:t>
      </w:r>
    </w:p>
    <w:p w:rsidR="00D17699" w:rsidRDefault="00D17699" w:rsidP="00D17699">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E41560" w:rsidRPr="00651237" w:rsidRDefault="00E41560" w:rsidP="00D17699">
      <w:pPr>
        <w:pStyle w:val="Default"/>
        <w:numPr>
          <w:ilvl w:val="0"/>
          <w:numId w:val="1"/>
        </w:numPr>
        <w:spacing w:after="1"/>
        <w:jc w:val="both"/>
        <w:rPr>
          <w:rFonts w:asciiTheme="majorHAnsi" w:hAnsiTheme="majorHAnsi"/>
          <w:sz w:val="28"/>
          <w:szCs w:val="28"/>
        </w:rPr>
      </w:pPr>
      <w:r>
        <w:rPr>
          <w:rFonts w:asciiTheme="majorHAnsi" w:hAnsiTheme="majorHAnsi"/>
          <w:sz w:val="28"/>
          <w:szCs w:val="28"/>
        </w:rPr>
        <w:t>Toda información adicional deberá ser cargada en la columna de Observaciones de cada ítem de la Planilla de cotización.</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 xml:space="preserve">Se aceptarán cotización en </w:t>
      </w:r>
      <w:r w:rsidR="00BF2C14">
        <w:rPr>
          <w:rFonts w:asciiTheme="majorHAnsi" w:hAnsiTheme="majorHAnsi"/>
          <w:sz w:val="28"/>
          <w:szCs w:val="28"/>
        </w:rPr>
        <w:t>PESOS.</w:t>
      </w:r>
      <w:bookmarkStart w:id="0" w:name="_GoBack"/>
      <w:bookmarkEnd w:id="0"/>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lastRenderedPageBreak/>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rsidR="00E41560" w:rsidRPr="00651237" w:rsidRDefault="00E41560"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651237" w:rsidRDefault="00D17699" w:rsidP="00D17699">
      <w:pPr>
        <w:pStyle w:val="Default"/>
        <w:jc w:val="both"/>
        <w:rPr>
          <w:rFonts w:asciiTheme="majorHAnsi" w:hAnsiTheme="majorHAnsi"/>
          <w:sz w:val="28"/>
          <w:szCs w:val="28"/>
        </w:rPr>
      </w:pPr>
      <w:r w:rsidRPr="00106858">
        <w:rPr>
          <w:rFonts w:asciiTheme="majorHAnsi" w:hAnsiTheme="majorHAnsi"/>
          <w:sz w:val="28"/>
          <w:szCs w:val="28"/>
        </w:rPr>
        <w:t>Se aceptarán ofertas por renglón, grupo de renglones o por la totalidad de los renglones.</w:t>
      </w:r>
      <w:r w:rsidRPr="00106858">
        <w:rPr>
          <w:rFonts w:asciiTheme="majorHAnsi" w:hAnsiTheme="majorHAnsi"/>
          <w:color w:val="FF0000"/>
          <w:sz w:val="28"/>
          <w:szCs w:val="28"/>
        </w:rPr>
        <w:t xml:space="preserve"> </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w:t>
      </w:r>
      <w:r w:rsidR="00881248">
        <w:rPr>
          <w:rFonts w:asciiTheme="majorHAnsi" w:hAnsiTheme="majorHAnsi"/>
          <w:color w:val="auto"/>
          <w:sz w:val="28"/>
          <w:szCs w:val="28"/>
        </w:rPr>
        <w:t>, art. 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226A72">
        <w:rPr>
          <w:rFonts w:asciiTheme="majorHAnsi" w:hAnsiTheme="majorHAnsi"/>
          <w:sz w:val="28"/>
          <w:szCs w:val="28"/>
        </w:rPr>
        <w:t>los arts. 96</w:t>
      </w:r>
      <w:r w:rsidR="00D17699" w:rsidRPr="00E41560">
        <w:rPr>
          <w:rFonts w:asciiTheme="majorHAnsi" w:hAnsiTheme="majorHAnsi"/>
          <w:sz w:val="28"/>
          <w:szCs w:val="28"/>
        </w:rPr>
        <w:t>, 9</w:t>
      </w:r>
      <w:r w:rsidR="00226A72">
        <w:rPr>
          <w:rFonts w:asciiTheme="majorHAnsi" w:hAnsiTheme="majorHAnsi"/>
          <w:sz w:val="28"/>
          <w:szCs w:val="28"/>
        </w:rPr>
        <w:t>7</w:t>
      </w:r>
      <w:r w:rsidR="00D17699" w:rsidRPr="00E41560">
        <w:rPr>
          <w:rFonts w:asciiTheme="majorHAnsi" w:hAnsiTheme="majorHAnsi"/>
          <w:sz w:val="28"/>
          <w:szCs w:val="28"/>
        </w:rPr>
        <w:t xml:space="preserve">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lastRenderedPageBreak/>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Son de aplicación las causales previstas en el Reglamento de Compras y Contrataciones, </w:t>
      </w:r>
      <w:r w:rsidR="00226A72">
        <w:rPr>
          <w:rFonts w:asciiTheme="majorHAnsi" w:hAnsiTheme="majorHAnsi"/>
          <w:sz w:val="28"/>
          <w:szCs w:val="28"/>
        </w:rPr>
        <w:t>arts. 109, 111</w:t>
      </w:r>
      <w:r w:rsidRPr="00651237">
        <w:rPr>
          <w:rFonts w:asciiTheme="majorHAnsi" w:hAnsiTheme="majorHAnsi"/>
          <w:sz w:val="28"/>
          <w:szCs w:val="28"/>
        </w:rPr>
        <w:t>, 1</w:t>
      </w:r>
      <w:r w:rsidR="00226A72">
        <w:rPr>
          <w:rFonts w:asciiTheme="majorHAnsi" w:hAnsiTheme="majorHAnsi"/>
          <w:sz w:val="28"/>
          <w:szCs w:val="28"/>
        </w:rPr>
        <w:t>12,</w:t>
      </w:r>
      <w:r w:rsidRPr="00651237">
        <w:rPr>
          <w:rFonts w:asciiTheme="majorHAnsi" w:hAnsiTheme="majorHAnsi"/>
          <w:sz w:val="28"/>
          <w:szCs w:val="28"/>
        </w:rPr>
        <w:t xml:space="preserve"> 1</w:t>
      </w:r>
      <w:r w:rsidR="00226A72">
        <w:rPr>
          <w:rFonts w:asciiTheme="majorHAnsi" w:hAnsiTheme="majorHAnsi"/>
          <w:sz w:val="28"/>
          <w:szCs w:val="28"/>
        </w:rPr>
        <w:t>1</w:t>
      </w:r>
      <w:r w:rsidRPr="00651237">
        <w:rPr>
          <w:rFonts w:asciiTheme="majorHAnsi" w:hAnsiTheme="majorHAnsi"/>
          <w:sz w:val="28"/>
          <w:szCs w:val="28"/>
        </w:rPr>
        <w:t>4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r w:rsidR="009922D4" w:rsidRPr="00651237">
        <w:rPr>
          <w:rFonts w:asciiTheme="majorHAnsi" w:hAnsiTheme="majorHAnsi"/>
          <w:color w:val="auto"/>
          <w:sz w:val="28"/>
          <w:szCs w:val="28"/>
        </w:rPr>
        <w:t>efecto el procedimiento de contratación en cualquier momento anterior al perfeccionamiento del contrato sin lugar a indemnización alguna a favor de los interesados, oferente</w:t>
      </w:r>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w:t>
      </w:r>
      <w:r w:rsidRPr="00651237">
        <w:rPr>
          <w:rFonts w:asciiTheme="majorHAnsi" w:hAnsiTheme="majorHAnsi"/>
          <w:color w:val="auto"/>
          <w:sz w:val="28"/>
          <w:szCs w:val="28"/>
        </w:rPr>
        <w:lastRenderedPageBreak/>
        <w:t xml:space="preserve">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w:t>
      </w:r>
      <w:r w:rsidR="009922D4">
        <w:rPr>
          <w:rFonts w:asciiTheme="majorHAnsi" w:hAnsiTheme="majorHAnsi"/>
          <w:color w:val="auto"/>
          <w:sz w:val="28"/>
          <w:szCs w:val="28"/>
        </w:rPr>
        <w:t xml:space="preserve">ompras y Contrataciones de SOFSE </w:t>
      </w:r>
      <w:r w:rsidRPr="00651237">
        <w:rPr>
          <w:rFonts w:asciiTheme="majorHAnsi" w:hAnsiTheme="majorHAnsi"/>
          <w:color w:val="auto"/>
          <w:sz w:val="28"/>
          <w:szCs w:val="28"/>
        </w:rPr>
        <w:t>(</w:t>
      </w:r>
      <w:hyperlink r:id="rId8"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890" w:rsidRDefault="00DB6890">
      <w:pPr>
        <w:spacing w:after="0" w:line="240" w:lineRule="auto"/>
      </w:pPr>
      <w:r>
        <w:separator/>
      </w:r>
    </w:p>
  </w:endnote>
  <w:endnote w:type="continuationSeparator" w:id="0">
    <w:p w:rsidR="00DB6890" w:rsidRDefault="00DB6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890" w:rsidRDefault="00DB6890">
      <w:pPr>
        <w:spacing w:after="0" w:line="240" w:lineRule="auto"/>
      </w:pPr>
      <w:r>
        <w:separator/>
      </w:r>
    </w:p>
  </w:footnote>
  <w:footnote w:type="continuationSeparator" w:id="0">
    <w:p w:rsidR="00DB6890" w:rsidRDefault="00DB68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CA62F9"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w:t>
    </w:r>
    <w:r w:rsidR="002722D4">
      <w:rPr>
        <w:rFonts w:ascii="Arial" w:hAnsi="Arial" w:cs="Arial"/>
        <w:b/>
        <w:bCs/>
        <w:color w:val="000000"/>
        <w:sz w:val="16"/>
        <w:szCs w:val="16"/>
      </w:rPr>
      <w:t>20</w:t>
    </w:r>
    <w:r>
      <w:rPr>
        <w:rFonts w:ascii="Arial" w:hAnsi="Arial" w:cs="Arial"/>
        <w:b/>
        <w:bCs/>
        <w:color w:val="000000"/>
        <w:sz w:val="16"/>
        <w:szCs w:val="16"/>
      </w:rPr>
      <w:t xml:space="preserve"> – Año de</w:t>
    </w:r>
    <w:r w:rsidR="002722D4">
      <w:rPr>
        <w:rFonts w:ascii="Arial" w:hAnsi="Arial" w:cs="Arial"/>
        <w:b/>
        <w:bCs/>
        <w:color w:val="000000"/>
        <w:sz w:val="16"/>
        <w:szCs w:val="16"/>
      </w:rPr>
      <w:t>l Gral. Manuel Belgrano</w:t>
    </w:r>
    <w:r w:rsidR="00D17699">
      <w:rPr>
        <w:rFonts w:ascii="Arial" w:hAnsi="Arial" w:cs="Arial"/>
        <w:b/>
        <w:bCs/>
        <w:color w:val="000000"/>
        <w:sz w:val="16"/>
        <w:szCs w:val="16"/>
      </w:rPr>
      <w:t>”</w:t>
    </w:r>
  </w:p>
  <w:p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106858"/>
    <w:rsid w:val="001B3BD1"/>
    <w:rsid w:val="00226A72"/>
    <w:rsid w:val="002722D4"/>
    <w:rsid w:val="00543F13"/>
    <w:rsid w:val="00736A8F"/>
    <w:rsid w:val="00881248"/>
    <w:rsid w:val="008B4578"/>
    <w:rsid w:val="009922D4"/>
    <w:rsid w:val="009D0D79"/>
    <w:rsid w:val="00B955A3"/>
    <w:rsid w:val="00BD092B"/>
    <w:rsid w:val="00BF2C14"/>
    <w:rsid w:val="00CA62F9"/>
    <w:rsid w:val="00D17699"/>
    <w:rsid w:val="00DB6890"/>
    <w:rsid w:val="00E41560"/>
    <w:rsid w:val="00EF5BB1"/>
    <w:rsid w:val="00F0263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CA62F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62F9"/>
    <w:rPr>
      <w:rFonts w:ascii="Calibri" w:eastAsia="Calibri" w:hAnsi="Calibri" w:cs="Times New Roman"/>
      <w:lang w:val="es-ES"/>
    </w:rPr>
  </w:style>
  <w:style w:type="paragraph" w:styleId="Textodeglobo">
    <w:name w:val="Balloon Text"/>
    <w:basedOn w:val="Normal"/>
    <w:link w:val="TextodegloboCar"/>
    <w:uiPriority w:val="99"/>
    <w:semiHidden/>
    <w:unhideWhenUsed/>
    <w:rsid w:val="00BF2C1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F2C14"/>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8457A-6CB4-4EF7-8E05-416AB3D83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1182</Words>
  <Characters>6507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Pascual, Laura</cp:lastModifiedBy>
  <cp:revision>7</cp:revision>
  <cp:lastPrinted>2020-01-21T13:28:00Z</cp:lastPrinted>
  <dcterms:created xsi:type="dcterms:W3CDTF">2019-12-04T17:48:00Z</dcterms:created>
  <dcterms:modified xsi:type="dcterms:W3CDTF">2020-01-21T13:29:00Z</dcterms:modified>
</cp:coreProperties>
</file>